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1B5" w:rsidRDefault="002E31B5" w:rsidP="002E31B5">
      <w:pPr>
        <w:pStyle w:val="ConsPlusNormal"/>
        <w:jc w:val="center"/>
      </w:pPr>
      <w:bookmarkStart w:id="0" w:name="block-58796599"/>
      <w:r>
        <w:t xml:space="preserve">                                                            Приложение 15 к приказу №48  от 29.08.2025г. </w:t>
      </w:r>
    </w:p>
    <w:p w:rsidR="002E31B5" w:rsidRDefault="002E31B5" w:rsidP="002E31B5">
      <w:pPr>
        <w:pStyle w:val="ConsPlusNormal"/>
        <w:jc w:val="center"/>
      </w:pPr>
    </w:p>
    <w:p w:rsidR="002E31B5" w:rsidRPr="008F38E4" w:rsidRDefault="002E31B5" w:rsidP="002E31B5">
      <w:pPr>
        <w:pStyle w:val="ConsPlusNormal"/>
        <w:jc w:val="center"/>
        <w:rPr>
          <w:b/>
        </w:rPr>
      </w:pPr>
      <w:r>
        <w:rPr>
          <w:b/>
        </w:rPr>
        <w:t xml:space="preserve">36. </w:t>
      </w:r>
      <w:r w:rsidRPr="008F38E4">
        <w:rPr>
          <w:b/>
        </w:rPr>
        <w:t xml:space="preserve">Рабочая программа по учебному предмету "История" (углубленный уровень). </w:t>
      </w:r>
    </w:p>
    <w:p w:rsidR="002E31B5" w:rsidRDefault="002E31B5" w:rsidP="002E31B5">
      <w:pPr>
        <w:pStyle w:val="ConsPlusNormal"/>
        <w:jc w:val="center"/>
      </w:pPr>
    </w:p>
    <w:p w:rsidR="002E31B5" w:rsidRDefault="002E31B5" w:rsidP="002E31B5">
      <w:pPr>
        <w:pStyle w:val="ConsPlusNormal"/>
        <w:jc w:val="both"/>
      </w:pPr>
      <w:r>
        <w:t xml:space="preserve">Рабочая программа по учебному предмету "История" (углубленный уровень) (предметная область "Общественно-научные предметы") (далее соответственно - программа по истории, история)  включает пояснительную записку, содержание обучения, планируемые результаты </w:t>
      </w:r>
      <w:proofErr w:type="gramStart"/>
      <w:r>
        <w:t>освоения программы по истории</w:t>
      </w:r>
      <w:proofErr w:type="gramEnd"/>
      <w:r>
        <w:t xml:space="preserve">. </w:t>
      </w:r>
    </w:p>
    <w:p w:rsidR="002E31B5" w:rsidRDefault="002E31B5" w:rsidP="002E31B5">
      <w:pPr>
        <w:pStyle w:val="ConsPlusNormal"/>
        <w:jc w:val="both"/>
      </w:pPr>
      <w:r>
        <w:t xml:space="preserve">Пояснительная записка отражает общие цели и задачи изучения истории, характеристику психологических предпосылок к ее изучению </w:t>
      </w:r>
      <w:proofErr w:type="gramStart"/>
      <w:r>
        <w:t>обучающимися</w:t>
      </w:r>
      <w:proofErr w:type="gramEnd"/>
      <w:r>
        <w:t xml:space="preserve">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 </w:t>
      </w:r>
    </w:p>
    <w:p w:rsidR="002E31B5" w:rsidRDefault="002E31B5" w:rsidP="002E31B5">
      <w:pPr>
        <w:pStyle w:val="ConsPlusNormal"/>
        <w:jc w:val="both"/>
      </w:pPr>
      <w:r>
        <w:t xml:space="preserve">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:rsidR="002E31B5" w:rsidRPr="002E31B5" w:rsidRDefault="002E31B5" w:rsidP="002E31B5">
      <w:pPr>
        <w:pStyle w:val="ConsPlusNormal"/>
        <w:jc w:val="both"/>
      </w:pPr>
      <w:r>
        <w:t xml:space="preserve">Планируемые результаты освоения программы по истории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2E31B5" w:rsidRDefault="002E31B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223B3" w:rsidRPr="000826EE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углубление социализации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систематических знаний об истории России и всеобщей истории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82a3c4d4-6016-4b94-88b2-2315f4be4be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1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8223B3" w:rsidRPr="000826EE" w:rsidRDefault="008223B3">
      <w:pPr>
        <w:spacing w:after="0" w:line="264" w:lineRule="auto"/>
        <w:ind w:firstLine="60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Распределение учебных часов по учебным курсам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отечественной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223B3" w:rsidRPr="000826EE" w:rsidRDefault="000826EE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1"/>
        <w:gridCol w:w="2277"/>
        <w:gridCol w:w="2028"/>
        <w:gridCol w:w="4110"/>
      </w:tblGrid>
      <w:tr w:rsidR="008223B3" w:rsidRPr="000826EE" w:rsidTr="002E31B5">
        <w:trPr>
          <w:trHeight w:val="144"/>
        </w:trPr>
        <w:tc>
          <w:tcPr>
            <w:tcW w:w="104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27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Всеобщая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(ч)</w:t>
            </w:r>
          </w:p>
        </w:tc>
        <w:tc>
          <w:tcPr>
            <w:tcW w:w="2028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(ч)</w:t>
            </w:r>
          </w:p>
        </w:tc>
        <w:tc>
          <w:tcPr>
            <w:tcW w:w="411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курсу «История России</w:t>
            </w:r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древнейших времен до 1914 г.»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(ч)</w:t>
            </w:r>
          </w:p>
        </w:tc>
      </w:tr>
      <w:tr w:rsidR="008223B3" w:rsidRPr="000826EE" w:rsidTr="002E31B5">
        <w:trPr>
          <w:trHeight w:val="144"/>
        </w:trPr>
        <w:tc>
          <w:tcPr>
            <w:tcW w:w="10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27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028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11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8223B3" w:rsidRPr="000826EE" w:rsidTr="002E31B5">
        <w:trPr>
          <w:trHeight w:val="144"/>
        </w:trPr>
        <w:tc>
          <w:tcPr>
            <w:tcW w:w="10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27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28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11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8223B3" w:rsidRPr="000826EE" w:rsidRDefault="008223B3">
      <w:pPr>
        <w:rPr>
          <w:rFonts w:ascii="Times New Roman" w:hAnsi="Times New Roman" w:cs="Times New Roman"/>
          <w:sz w:val="24"/>
          <w:szCs w:val="24"/>
        </w:rPr>
        <w:sectPr w:rsidR="008223B3" w:rsidRPr="000826EE" w:rsidSect="002E31B5">
          <w:pgSz w:w="11906" w:h="16838" w:code="9"/>
          <w:pgMar w:top="709" w:right="850" w:bottom="1134" w:left="1701" w:header="720" w:footer="720" w:gutter="0"/>
          <w:cols w:space="720"/>
          <w:docGrid w:linePitch="299"/>
        </w:sectPr>
      </w:pPr>
    </w:p>
    <w:p w:rsidR="002E31B5" w:rsidRDefault="002E31B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58796602"/>
      <w:bookmarkEnd w:id="0"/>
    </w:p>
    <w:p w:rsidR="002E31B5" w:rsidRDefault="002E31B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223B3" w:rsidRPr="002E31B5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31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8223B3" w:rsidRPr="002E31B5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2E31B5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31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8223B3" w:rsidRPr="002E31B5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2E31B5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31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</w:t>
      </w:r>
      <w:r w:rsidR="002E31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E31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история. 1914–1945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Понятие «Новейшее время». Хронологические рамки и периодизация Новейшей истории. Изменение мира в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Ключевые процессы и события Новейшей истории.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 накануне и в годы</w:t>
      </w:r>
      <w:proofErr w:type="gramStart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</w:t>
      </w:r>
      <w:proofErr w:type="gramEnd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ервой мировой войны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(рекомендуется изучать данную тему объединено с темой «Россия в Первой мировой войне (1914–1918)» курса истории России).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начале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империй – наследие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Гаагские конвенции. Региональные конфликты и войны в конце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мировая война (1914–1918). Причины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Верденское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сражение. Битва на Сомме.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Ютландское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морское сражение. Вступление в войну Румынии.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ервой мировой войны.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 в 1918–1939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 войны к миру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Планы послевоенного устройства мира. 14 пунктов В. Вильсона. Парижская мирная конференция. Версальская система. Лига Наций. Вашингтонская конференция.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1920–1930‑е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Установление авторитарных режимов в странах Европы.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Кейнсианство. Государственное регулирование экономики.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против угрозы фашизма. Тактика единого рабочего фронта и Народного фронта.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VII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конгресс Коминтерна.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сражения, итоги).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Позиции европейских держав в отношении Испании. Советская помощь Испании. Оборона Мадрида. Поражение Испанской республики.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Азии в 1918–1930-х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Япония: наращивание экономического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первой трети ХХ </w:t>
      </w:r>
      <w:proofErr w:type="gramStart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1920–1930-х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Версальская система и реалии 1920-х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Планы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Дауэса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Юнга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Советское государство в международных отношениях в 1920‑х гг. Пакт Бриана–Келлога. «Эра пацифизма».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Нарастание агрессии в мире в 1930-х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АгрессияЯпониипротивКитая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(1931–1933).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1914–1930-х гг. </w:t>
      </w:r>
    </w:p>
    <w:p w:rsidR="008223B3" w:rsidRPr="002E31B5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первых десятилетий ХХ в. (физика, химия, биология, медицина и другие). </w:t>
      </w:r>
      <w:proofErr w:type="spellStart"/>
      <w:r w:rsidRPr="002E31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Техническийпрогресс</w:t>
      </w:r>
      <w:proofErr w:type="spellEnd"/>
      <w:r w:rsidRPr="002E31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1920– 1930-х гг. </w:t>
      </w:r>
      <w:proofErr w:type="spellStart"/>
      <w:r w:rsidRPr="002E31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Изменениеобликагородов</w:t>
      </w:r>
      <w:proofErr w:type="spellEnd"/>
      <w:r w:rsidRPr="002E31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Тоталитаризм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культура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Массовая культура. Олимпийское движение.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Вторая мировая война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(рекомендуется изучать данную тему объединенно с темой «Великая Отечественная война (1941–1945)» курса истории России).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 Причины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ее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союзников на Балканы.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«Ост»). Ход событий на советско-германском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 над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военными преступниками Германии и Японии. Итоги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России. 1914–1945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Периодизация и общая характеристика истории России 1914–1945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в годы</w:t>
      </w:r>
      <w:proofErr w:type="gramStart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</w:t>
      </w:r>
      <w:proofErr w:type="gramEnd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ервой мировой войны и Великой российской революции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в</w:t>
      </w:r>
      <w:proofErr w:type="gramStart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</w:t>
      </w:r>
      <w:proofErr w:type="gramEnd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ервой мировой войне (1914–1918)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и мир накануне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Распутинщина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десакрализация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власти. Эхо войны на окраинах империи: восстание в Средней Азии. Политические партии и война: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оборонцы, интернационалисты и пораженцы. Влияние большевистской пропаганды. Возрастание роли армии в жизни общества.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Великая российская революция 1917–1922 гг. 1917 год: от Февраля к Октябрю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революционные преобразования большевиков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Созыв и разгон Учредительного собрания.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Конституция РСФСР 1918 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Гражданская война и ее последствия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Комуч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продотряды и белые реквизиции.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Главкизм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Разработка плана ГОЭЛРО. Создание регулярной Красной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ее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значение. Эмиграция и формирование русского зарубежья. Последние отголоски Гражданской войны в регионах в конце 1921–1922 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Идеология и культура Советской России периода Гражданской войны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Наш край в 1914–1922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Советский Союз в 1920–1930-е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СССР в годы нэпа (1921–1928)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Катастрофические последствия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ервой мировой и Гражданской войн. Демографическая ситуация в начале 1920-х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Экономическаяразруха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П(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б) к концу 1920‑х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Деревенский социум: кулаки, середняки и бедняки. Сельскохозяйственные коммуны, артели и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ТОЗы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Отходничество. Сдача земли в аренду.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Советский Союз в 1929–1941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региональные особенности коллективизации. Голо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 в СССР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1932–1933 гг. как следствие коллективизации.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Крупнейшие стройки первых пятилеток в центре и национальных республиках.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Днепрострой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Горьковский автозавод. Сталинградский и Харьковский тракторные заводы,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Турксиб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Строительство Московского метрополитена. Создание новых отраслей промышленности. Иностранные 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8223B3" w:rsidRPr="002E31B5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П(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б). Краткий курс». Усиление идеологического контроля над обществом. </w:t>
      </w:r>
      <w:proofErr w:type="spellStart"/>
      <w:r w:rsidRPr="002E31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Введениепаспортнойсистемы</w:t>
      </w:r>
      <w:proofErr w:type="spellEnd"/>
      <w:r w:rsidRPr="002E31B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E31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Массовыеполитическиерепрессии</w:t>
      </w:r>
      <w:proofErr w:type="spellEnd"/>
      <w:r w:rsidRPr="002E31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1937–1938 гг. «</w:t>
      </w:r>
      <w:proofErr w:type="spellStart"/>
      <w:r w:rsidRPr="002E31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Врагнарода</w:t>
      </w:r>
      <w:proofErr w:type="spellEnd"/>
      <w:r w:rsidRPr="002E31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Советская социальная и национальная политика 1930-х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Пропаганда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реальныедостижения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СССР 1936 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советского общества в 1920–1930-е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«Коммунистическое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чванство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нехристианских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конфессий.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Литература и кинематограф 1930-х гг. Культура русского зарубежья.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Возвращение к традиционным ценностям в середине 1930‑х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Досуг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городе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СССР в 1920–1930-е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Бессарабии, Северной Буковины, Западной Украины и Западной Белоруссии. Катынская трагедия.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1920–1930-х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(1941–1945)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Первый период войны (июнь 1941 – осень 1942 г.)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«Барбаросса». Соотношение сил противников на 22 июня 1941 г. Вторжение Герман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ее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сателлитов на территорию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СССР.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Героизм и трагедия гражданского населения. Эвакуация ленинградцев. Дорога жизни.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Коренной перелом в ходе войны (осень 1942 – 1943 г.)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Сталинградская битва. Германское наступление весной–летом 1942 г. Поражение советских вой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 в Кр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ыму. Битва за Кавказ. Оборона Сталинграда. Дом Павлова.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proofErr w:type="spellStart"/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ИтогинаступленияКраснойАрмиилетом–осенью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1943 г.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война: единство фронта и тыла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эвакуированным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общественные инициативы по спасению детей. Создание Суворовских и Нахимовских училищ.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Победа СССР в Великой Отечественной войне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Окончание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 (1944 – сентябрь 1945 г.).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Боевые действия в Восточной и Центральной Европе и освободительная миссия Красной Армии. Боевое содружество Красной Армии и вой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 стр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 Антигитлеровской коалиции. Встреча на Эльбе.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Битва за Берлин и окончание войны в Европе.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Висло-Одерская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Война и общество. Военно-экономическое превосходство СССР над Германией в 1944–1945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Восстановлениехозяйства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освобожденныхрайонах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 Великой Отечественной и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1941–1945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Обобщение.</w:t>
      </w:r>
    </w:p>
    <w:p w:rsidR="008223B3" w:rsidRPr="000826EE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8223B3" w:rsidRPr="000826EE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1945–2022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Введение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во второй половине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Научно-технический прогресс. Переход от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индустриального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122.7.1.2. Страны Северной Америки и Европы во второй половине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повороты политического курса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отношений с СССР, Российской Федерацией.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республики во Франции. Лейбористы и консерваторы в Великобритании.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Политические системы и лидеры европейских стран во второй половине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«Скандинавская модель» социально-экономического развития.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«Бурные шестидесятые». Падение диктатур в Греции, Португалии, Испании. Экономические кризисы 1970‑х – начала 1980-х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Неоконсерватизм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Страны Центральной и Восточной Европы во второй половине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.: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политика, внешнеполитическая ориентация, участие в интеграционных процессах.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Азии, Африки во второй половине ХХ – начале </w:t>
      </w:r>
      <w:r w:rsidRPr="000826EE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проблемы и пути модернизации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Восточной, Юго-Восточной и Южной Азии. Освободительная борьба и провозглашение национальных госуда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в р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Япония после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Арабская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весна» и смена политических режимов в начале 2010-х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Гражданскаявойна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Сирии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во второй половине ХХ – начале </w:t>
      </w:r>
      <w:r w:rsidRPr="000826EE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Перу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Чили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Никарагуа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Правоавторитарные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диктатуры. «Левый поворот» в конце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во второй половине ХХ – начале </w:t>
      </w:r>
      <w:r w:rsidRPr="000826EE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Разрядка международной напряженности в конце 1960-х – первой половине 1970-х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запрещенииядерныхиспытаний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трехсредах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РГ с СССР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Революции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1989–1991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гг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в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странахВосточной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Европы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Распад СССР и восточного блока.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Международные отношения в конце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науки и культуры во второй половине ХХ – начале </w:t>
      </w:r>
      <w:r w:rsidRPr="000826EE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науки во второй половине ХХ в. (ядерная физика, химия, биология, медицина).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Изменение условий труда и быта людей во второй половине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Течения и стили в художественной культуре второй половины ХХ – начала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Глобальное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национальное в современной культуре.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Современный мир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Глобализация, интеграция и проблемы национальных интересов.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1945–2022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СССР в 1945–1991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СССР в 1945–1953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атомный проект, его успехи и значение. Начало гонки вооружений.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лысенковщина.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Коминформбюро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1945 – начале 1950-х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СССР в середине 1950-х – первой половине 1960-х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Первые признаки наступления оттепели в политике, экономике, культурной сфере.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партии и разоблачение культа личности Сталина. Реакция на доклад Хрущева в стране и мире.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Приоткрытие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железного занавеса. Всемирный фестиваль молодежи и студентов 1957 г. Популярные формы досуга. 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социальной и профессиональной структуре советского общества к началу 1960-х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Преобладаниегорожаннадсельскимнаселением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ХХ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II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Венгерские события 1956 г. Распад колониальной системы и борьба за влияние в странах третьего мира.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1953–1964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Советское государство и общество в середине 1960-х – начале 1980-х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Десталинизация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ресталинизация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реформы 1960-х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Новыеориентирыаграрнойполитики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Косыгинская реформа. Конституция СССР 1977 г. Концепция «развитого социализма».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Советские научные и технические приоритеты. МГУ им.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М.В.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Ломоносова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Идейная и духовная жизнь советского общества. Развитие физкультуры и спорта в СССР.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Л.И. Брежнев в оценках современников и историков.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 край в 1964–1985 гг. (1ч в рамках общего количества часов данной темы).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Политика перестройки. Распад СССР (1985–1991)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Демократизация советской политической системы.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конференция КПСС и ее решения.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в КПСС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создание Коммунистической партии РСФСР.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народных депутатов РСФСР и его решения.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1985–1991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1992–2022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Становление новой России (1992–1999)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Обострение межнациональных и межконфессиональных отношений в 1990-е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ПодписаниеФедеративногодоговора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(1992) и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отдельныхсоглашенийцентра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республиками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Договор с Татарстаном как способ восстановления федеративных отношений с республикой и территориальной 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детская беспризорность. «Новые русские» и их образ жизни. Решение проблем социально незащищенных слоев.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русскоязычного населения в бывших республиках СССР.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1992–1999 гг.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в ХХ</w:t>
      </w:r>
      <w:proofErr w:type="gramStart"/>
      <w:r w:rsidRPr="000826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proofErr w:type="gramEnd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вызовы времени и задачи модернизации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Финансовоеположение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и общество в конце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XXII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Олимпийские и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Чемпионат мира по футболу и открытие нового образа России миру.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в конце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Осетию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в 2008 г. (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операцияпопринуждениюГрузии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к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миру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Дальневосточное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направления политики России. Сланцевая революция в США и борьба за передел мирового нефтегазового рынка.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Религия, наука и культура России в конце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недостаточная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востребованность результатов их научной деятельности.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Наш край в 2000 – начале 2020-х гг. (2 ч в рамках общего количества часов данной темы).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122.8. Обобщающее повторение по курсу «История России с древнейших времен до 1914 г.».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знаний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последствиями, выявляется общее и особенное в историческом развитии России и зарубежных стран, определяются причины различий.</w:t>
      </w:r>
      <w:proofErr w:type="gramEnd"/>
    </w:p>
    <w:p w:rsidR="008223B3" w:rsidRPr="000826EE" w:rsidRDefault="000826EE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858"/>
        <w:gridCol w:w="5705"/>
      </w:tblGrid>
      <w:tr w:rsidR="008223B3" w:rsidRPr="000826E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</w:t>
            </w:r>
            <w:proofErr w:type="spellEnd"/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8223B3" w:rsidRPr="000826E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223B3" w:rsidRPr="000826E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Россия в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223B3" w:rsidRPr="000826E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Россия в конце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223B3" w:rsidRPr="000826E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Российская империя в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264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Систематизация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Внешние угрозы русским землям в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противостояние агрессии.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русских земель против зависимости от Орды (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Объединение русских земель вокруг Москвы (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законодательства в едином Русском (Российском) государстве (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и укрепление российского самодержавия (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Земские соборы, их роль в истории России (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 закрепощения крестьян (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выступления в России в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X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в.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Черты Нового времени в экономическом развитии России в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Борьба России за выход к Балтийскому и Черному морям. Русско-турецкие войны (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Крестьянский вопрос и попытки его решения в России в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Власть и общество в России в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.: самодержавная монархия, эволюция отношений.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Великие реформы 1860–1870-х гг.: новые перспективы.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Индустриальное развитие и модернизационные процессы и России в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Российские первооткрыватели, ученые, изобретатели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в.: место в истории России и всемирной истории.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культуры в России в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223B3" w:rsidRPr="000826EE" w:rsidRDefault="008223B3">
      <w:pPr>
        <w:rPr>
          <w:rFonts w:ascii="Times New Roman" w:hAnsi="Times New Roman" w:cs="Times New Roman"/>
          <w:sz w:val="24"/>
          <w:szCs w:val="24"/>
          <w:lang w:val="ru-RU"/>
        </w:rPr>
        <w:sectPr w:rsidR="008223B3" w:rsidRPr="000826EE" w:rsidSect="002E31B5">
          <w:type w:val="continuous"/>
          <w:pgSz w:w="11906" w:h="16838" w:code="9"/>
          <w:pgMar w:top="709" w:right="850" w:bottom="1134" w:left="1701" w:header="720" w:footer="720" w:gutter="0"/>
          <w:cols w:space="720"/>
          <w:docGrid w:linePitch="299"/>
        </w:sectPr>
      </w:pPr>
    </w:p>
    <w:p w:rsidR="008223B3" w:rsidRPr="000826EE" w:rsidRDefault="000826EE" w:rsidP="002E31B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8796600"/>
      <w:bookmarkEnd w:id="2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8223B3" w:rsidRPr="000826EE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223B3" w:rsidRPr="000826EE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гражданского воспитания: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гуманитарной и волонтерской деятельности;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2) патриотического воспитания: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идейная убежденность, готовность к служению Отечеству и его защите, ответственность за его судьбу;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3) духовно-нравственного воспитания: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личного вклада в построение устойчивого будущего;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эстетического воспитания: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5) физического воспитания: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ценностного отношения к жизни и здоровью;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и необходимости ее сохранения;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6) трудового воспитания: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 человека;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интереса к различным сферам профессиональной деятельности;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мотивация и способность к самообразованию на протяжении всей жизни;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7) экологического воспитания: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социальноэкономических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активное неприятие действий, приносящих вред окружающей природной и социальной среде;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дальнейшему, в том числе профессиональному, изучению истории.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истории способствует также развитию </w:t>
      </w: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эмоционального интеллекта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эмоций с учетом позиций и мнений других участников общения). </w:t>
      </w:r>
    </w:p>
    <w:p w:rsidR="002E31B5" w:rsidRDefault="002E31B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223B3" w:rsidRPr="000826EE" w:rsidRDefault="002E31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0826EE"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223B3" w:rsidRPr="000826EE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проблему, вопрос, требующий решения;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характерные признаки исторических явлений;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причинно-следственные связи событий прошлого и настоящего;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и обосновывать выводы.</w:t>
      </w: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8223B3" w:rsidRPr="000826EE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полученные результаты и свой вклад в общую работу.</w:t>
      </w:r>
    </w:p>
    <w:p w:rsidR="008223B3" w:rsidRPr="000826EE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проблему, задачи, требующие решения;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 действий, определять способ решения;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последовательно реализовывать намеченный план действий. </w:t>
      </w: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осуществлять самоконтроль, рефлексию и самооценку полученных результатов;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свое право и право других на ошибки;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конструктивные предложения для совместного решения учебных задач, проблем. </w:t>
      </w:r>
    </w:p>
    <w:p w:rsidR="008223B3" w:rsidRPr="000826EE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223B3" w:rsidRPr="000826EE" w:rsidRDefault="008223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Требования к предметным результатам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базового курса истории: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особенности развития культуры народов СССР (России).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имен героев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справочной литературе, сети Интернет, средствах массовой информации для решения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познавательных задач,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ресурсов библиотек, музеев).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Знание ключевых событий, основных дат и этапов истории России и мира в ХХ – начале 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по учебному курсу «История России»: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накануне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ервой мировой войны. Ход военных действий. Власть, общество, экономика, культура. Предпосылки революции.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СССР в 1945–1991 гг.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Экономическиеразвитие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826EE">
        <w:rPr>
          <w:rFonts w:ascii="Times New Roman" w:hAnsi="Times New Roman" w:cs="Times New Roman"/>
          <w:color w:val="000000"/>
          <w:sz w:val="24"/>
          <w:szCs w:val="24"/>
        </w:rPr>
        <w:t>реформы</w:t>
      </w:r>
      <w:proofErr w:type="spellEnd"/>
      <w:r w:rsidRPr="000826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 w:rsidRPr="000826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по учебному курсу «Всеобщая история»: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накануне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ервой мировой войны. Первая мировая война: причины, участники, основные события, результаты. Власть и общество.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«Новый курс» в США. Германский нацизм. «Народный фронт». Политика «умиротворения агрессора». Культурное развитие.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Вторая мировая война: причины, участники, основные сражения, итоги.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Власть и общество в годы войны. Решающий вклад СССР в Победу.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мир: глобализация и деглобализация. Геополитический кризис 2022 г. и его влияние на мировую систему.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Требования к предметным результатам освоения углубленного курса: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характеризовать вклад российской культуры в мировую культуру.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0826E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классе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характеризовать вклад российской культуры в мировую культуру.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чем состоят научные и социальные функции исторического знания;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 применять основные приемы изучения исторических источников;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хронологические рамки периодов истории России и всеобщей истории 1914–1945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обобщать историческую информацию по истории России и всеобщей истории 1914–1945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в 1914–1945 гг., показывая изменения, происшедшие в течение рассматриваемого периода;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изучения исторического материала 1914–1945 гг. устанавливать исторические аналогии.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специфику современных источников социальной и личной информации;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проектной и учебно-исследовательской деятельности.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826E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классе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истории: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характеризовать вклад российской культуры в мировую культуру.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 применять основные приемы изучения исторических источников;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хронологические рамки периодов истории России и всеобщей истории 1945–2022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историческую информацию по истории России и всеобщей истории 1945–2022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изучения исторического материала 1945–2022 гг. устанавливать исторические аналогии.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специфику современных источников социальной и личной информации;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проектной и учебно-исследовательской деятельности.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</w:t>
      </w: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11 классе</w:t>
      </w: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характеризовать вклад российской культуры в мировую культуру.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чем состоят научные и социальные функции исторического знания;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 применять основные приемы изучения исторических источников;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роль исторической науки в политическом развитии России с древнейших времен до 1914 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хронологические рамки периодов истории России с древнейших времен до 1914 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историческую информацию по истории России с древнейших времен до 1914 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проектной и учебно-исследовательской деятельности.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предметного результата включает следующий перечень знаний и умений: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:rsidR="008223B3" w:rsidRPr="000826EE" w:rsidRDefault="000826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:rsidR="008223B3" w:rsidRPr="000826EE" w:rsidRDefault="000826EE" w:rsidP="002E31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223B3" w:rsidRPr="000826EE" w:rsidSect="00D265E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  <w:r w:rsidRPr="000826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</w:t>
      </w:r>
      <w:r w:rsidR="002E31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826EE" w:rsidRPr="002E31B5" w:rsidRDefault="000826EE" w:rsidP="002E31B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826EE" w:rsidRPr="002E31B5" w:rsidSect="00D265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  <w:bookmarkStart w:id="4" w:name="block-58796603"/>
      <w:bookmarkStart w:id="5" w:name="block-58796598"/>
      <w:bookmarkEnd w:id="3"/>
      <w:bookmarkEnd w:id="4"/>
    </w:p>
    <w:p w:rsidR="008223B3" w:rsidRPr="002E31B5" w:rsidRDefault="008223B3">
      <w:pPr>
        <w:rPr>
          <w:rFonts w:ascii="Times New Roman" w:hAnsi="Times New Roman" w:cs="Times New Roman"/>
          <w:sz w:val="24"/>
          <w:szCs w:val="24"/>
          <w:lang w:val="ru-RU"/>
        </w:rPr>
        <w:sectPr w:rsidR="008223B3" w:rsidRPr="002E31B5" w:rsidSect="00D265ED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8223B3" w:rsidRPr="000826EE" w:rsidRDefault="000826EE" w:rsidP="002E31B5">
      <w:pPr>
        <w:spacing w:before="199" w:after="199" w:line="336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8796604"/>
      <w:bookmarkEnd w:id="5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ЕГЭ ПО ИСТОРИИ ТРЕБОВАНИЯ К РЕЗУЛЬТАТАМ ОСВОЕНИЯ ОСНОВНОЙ ОБРАЗОВАТЕЛЬНОЙ ПРОГРАММЫ СРЕДНЕГО ОБЩЕГО ОБРАЗОВАНИЯ</w:t>
      </w:r>
    </w:p>
    <w:tbl>
      <w:tblPr>
        <w:tblW w:w="10632" w:type="dxa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687"/>
        <w:gridCol w:w="6945"/>
      </w:tblGrid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="002E31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="002E31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</w:t>
            </w:r>
            <w:proofErr w:type="spellEnd"/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</w:t>
            </w:r>
            <w:r w:rsidR="002E31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826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Знание ключевых событий, основных дат и этапов истории России и мира в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Знание выдающихся деятелей отечественной и всемирной истории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вв., в том числе имён героев</w:t>
            </w:r>
            <w:proofErr w:type="gram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ервой мировой, Гражданской, Великой Отечественной войн, исторических личностей, внёсших значительный вклад в социально-экономическое, политическое и культурное развитие России в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Знание важнейших достижений культуры России и мира в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вв., ценностных ориентиров; умение характеризовать вклад российской культуры в мировую культуру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значимости России в мировых политических и социально-экономических процессах с древнейших времён до настоящего времени, в том числе в мировых политических и социально-экономических процессах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вв.; знание достижений страны и её народа; умение характеризовать историческое значение Российской революции, Гражданской войны, новой экономической политики (нэпа), индустриализации и коллективизации в Союзе Советских Социалистических Республик, решающую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вв.; особенности развития культуры народов СССР (России)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выявлять существенные черты исторических событий, явлений, процессов; анализировать; характеризовать исторические события, явления, процессы с древнейших времён до настоящего времени, в том числе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их участников, образа жизни людей и его изменения в Новейшую эпоху;</w:t>
            </w:r>
            <w:proofErr w:type="gram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рассказывать о подвигах народа при защите Отечества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Формулировать и обосновывать собственную точку зрения (версию, оценку) с помощью фактического материала, в том числе используя источники разных типов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Систематизировать историческую информацию в соответствии с заданными критериями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анализировать, сравнивать исторические события, явления, процессы</w:t>
            </w:r>
          </w:p>
        </w:tc>
      </w:tr>
      <w:tr w:rsidR="008223B3" w:rsidRPr="000826EE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комплексом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хронологических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</w:t>
            </w:r>
            <w:proofErr w:type="spellEnd"/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устанавливать причинно-следственные, пространственные связи исторических событий, явлений, процессов с древнейших времён до настоящего времени, характеризовать их итоги; соотносить события истории родного края и истории России в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вв.; определять современников исторических событий истории России и человечества в целом в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Сформированность представлений о методах изучения исторических источников;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вв., оценивать их полноту и достоверность, соотносить с историческим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периодом; выявлять общее и различия; привлекать контекстную информацию при работе с историческими источниками;</w:t>
            </w:r>
            <w:proofErr w:type="gram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учитывать при работе специфику современных источников социальной и личной информации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объяснять критерии поиска исторических источников и находить их; объяснять значимость конкретных источников при изучении событий и процессов истории России и истории зарубежных стран; приобретение опыта осуществления учебно-исследовательской деятельности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</w:t>
            </w:r>
            <w:r w:rsidRPr="000826E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её соответствия исторической действительности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вв.; сопоставлять информацию, представленную в различных источниках; формализовать историческую информацию в виде таблиц, схем, графиков, диаграмм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Сформированность представлений о предмете, научных и социальных функциях исторического знания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так далее)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</w:tr>
      <w:tr w:rsidR="008223B3" w:rsidRPr="002E31B5" w:rsidTr="002E31B5">
        <w:trPr>
          <w:trHeight w:val="144"/>
        </w:trPr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36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12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отстаивать историческую правду, не допускать умаления подвига народа при защите Отечества в ходе дискуссий и других форм межличностного взаимодействия, а также при разработке и представлении учебных проектов и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исследований по новейшей истории, аргументированно критиковать фальсификации отечественной истории; разоблачать фальсификации отечественной истории</w:t>
            </w:r>
          </w:p>
        </w:tc>
      </w:tr>
    </w:tbl>
    <w:p w:rsidR="008223B3" w:rsidRPr="000826EE" w:rsidRDefault="008223B3">
      <w:pPr>
        <w:spacing w:after="0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223B3" w:rsidRPr="000826EE" w:rsidRDefault="008223B3">
      <w:pPr>
        <w:rPr>
          <w:rFonts w:ascii="Times New Roman" w:hAnsi="Times New Roman" w:cs="Times New Roman"/>
          <w:sz w:val="24"/>
          <w:szCs w:val="24"/>
          <w:lang w:val="ru-RU"/>
        </w:rPr>
        <w:sectPr w:rsidR="008223B3" w:rsidRPr="000826EE" w:rsidSect="00D265E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8223B3" w:rsidRPr="000826EE" w:rsidRDefault="000826EE" w:rsidP="002E31B5">
      <w:pPr>
        <w:spacing w:before="199" w:after="199" w:line="336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58796605"/>
      <w:bookmarkEnd w:id="6"/>
      <w:r w:rsidRPr="000826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ЕГЭ ПО ИСТОРИИ</w:t>
      </w:r>
    </w:p>
    <w:tbl>
      <w:tblPr>
        <w:tblW w:w="10632" w:type="dxa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003"/>
        <w:gridCol w:w="8629"/>
      </w:tblGrid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="002E31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="002E31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– 6 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России с древнейших времён до 1914 г. (на основе кодификатора проверяемых элементов содержания для проведения основного государственного экзамена)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1914 – 1945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</w:t>
            </w:r>
            <w:proofErr w:type="gram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ервой мировой войне (1914 – 1918)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1917 год: от Февраля к Октябрю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революционные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большевиков</w:t>
            </w:r>
            <w:proofErr w:type="spellEnd"/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её последствия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СССР в годы новой экономической политики (нэпа) (1921 – 1928)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СоветскийСоюз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1929 – 1941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 советского общества в 1920 – 1930-е гг.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СССР в 1920 – 1930-е гг.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ВеликаяОтечественнаявойна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(1941 – 1945)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период войны (июнь 1941 – осень 1942 г.)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Коренной перелом в ходе войны (осень 1942 – 1943 г.)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война: единство фронта и тыла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Победа СССР в Великой Отечественной войне. Окончание</w:t>
            </w:r>
            <w:proofErr w:type="gram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торой мировой войны (1944 – сентябрь 1945 г.)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СССР в 1945 – 1991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СССР в 1945 – 1953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СССР в середине 1950-х – первой половине 1960-х гг.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Советское государство и общество в середине 1960-х –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начале 1980-х гг.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перестройки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СССР (1985 – 1991)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1992 – 2022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новой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(1992 – 1999)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ХХ</w:t>
            </w:r>
            <w:proofErr w:type="gram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вызовы времени и задачи модернизации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Всеобщая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1914 – 1945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накануне и в годы</w:t>
            </w:r>
            <w:proofErr w:type="gram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ервой мировой войны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1918 – 1939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11.3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Вторая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мировая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</w:t>
            </w:r>
            <w:proofErr w:type="spellEnd"/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Всеобщая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1945 – 2022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Северной Америки и Европы во второй половине ХХ – начале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12.2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Азии, Африки во второй половине ХХ – начале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проблемы и пути модернизации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12.3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Страны Латинской Америки во второй половине ХХ –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начале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12.4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Международные отношения во второй половине ХХ –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начале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8223B3" w:rsidRPr="002E31B5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и культуры во второй половине ХХ – начале 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8223B3" w:rsidRPr="000826EE" w:rsidTr="002E31B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12.6</w:t>
            </w:r>
          </w:p>
        </w:tc>
        <w:tc>
          <w:tcPr>
            <w:tcW w:w="8629" w:type="dxa"/>
            <w:tcMar>
              <w:top w:w="50" w:type="dxa"/>
              <w:left w:w="100" w:type="dxa"/>
            </w:tcMar>
            <w:vAlign w:val="center"/>
          </w:tcPr>
          <w:p w:rsidR="008223B3" w:rsidRPr="000826EE" w:rsidRDefault="000826EE">
            <w:pPr>
              <w:spacing w:after="0" w:line="36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</w:t>
            </w:r>
            <w:proofErr w:type="spellEnd"/>
            <w:r w:rsidR="002E31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</w:p>
        </w:tc>
      </w:tr>
    </w:tbl>
    <w:p w:rsidR="008223B3" w:rsidRPr="000826EE" w:rsidRDefault="008223B3">
      <w:pPr>
        <w:spacing w:after="0" w:line="33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223B3" w:rsidRPr="000826EE" w:rsidRDefault="008223B3">
      <w:pPr>
        <w:rPr>
          <w:rFonts w:ascii="Times New Roman" w:hAnsi="Times New Roman" w:cs="Times New Roman"/>
          <w:sz w:val="24"/>
          <w:szCs w:val="24"/>
        </w:rPr>
        <w:sectPr w:rsidR="008223B3" w:rsidRPr="000826EE" w:rsidSect="00D265ED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bookmarkEnd w:id="7"/>
    <w:p w:rsidR="000826EE" w:rsidRPr="000826EE" w:rsidRDefault="000826EE" w:rsidP="000826E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826EE" w:rsidRPr="000826EE" w:rsidSect="000826EE">
      <w:type w:val="continuous"/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3B3"/>
    <w:rsid w:val="000826EE"/>
    <w:rsid w:val="002E31B5"/>
    <w:rsid w:val="0030541C"/>
    <w:rsid w:val="008223B3"/>
    <w:rsid w:val="009C5679"/>
    <w:rsid w:val="00BF3C9A"/>
    <w:rsid w:val="00D26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C5679"/>
    <w:rPr>
      <w:color w:val="467886" w:themeColor="hyperlink"/>
      <w:u w:val="single"/>
    </w:rPr>
  </w:style>
  <w:style w:type="table" w:styleId="ac">
    <w:name w:val="Table Grid"/>
    <w:basedOn w:val="a1"/>
    <w:uiPriority w:val="59"/>
    <w:rsid w:val="009C56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customStyle="1" w:styleId="ConsPlusNormal">
    <w:name w:val="ConsPlusNormal"/>
    <w:rsid w:val="002E31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41</Pages>
  <Words>18053</Words>
  <Characters>102907</Characters>
  <Application>Microsoft Office Word</Application>
  <DocSecurity>0</DocSecurity>
  <Lines>857</Lines>
  <Paragraphs>241</Paragraphs>
  <ScaleCrop>false</ScaleCrop>
  <Company/>
  <LinksUpToDate>false</LinksUpToDate>
  <CharactersWithSpaces>120719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Сумпосад школа</cp:lastModifiedBy>
  <cp:revision>4</cp:revision>
  <dcterms:created xsi:type="dcterms:W3CDTF">2025-09-07T17:27:00Z</dcterms:created>
  <dcterms:modified xsi:type="dcterms:W3CDTF">2025-09-14T19:09:00Z</dcterms:modified>
</cp:coreProperties>
</file>